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0CC" w:rsidRPr="00EE6CB8" w:rsidRDefault="00EE6CB8" w:rsidP="00EE6CB8">
      <w:pPr>
        <w:pStyle w:val="ListParagraph"/>
        <w:numPr>
          <w:ilvl w:val="0"/>
          <w:numId w:val="1"/>
        </w:numPr>
        <w:rPr>
          <w:lang w:val="en"/>
        </w:rPr>
      </w:pPr>
      <w:bookmarkStart w:id="0" w:name="_GoBack"/>
      <w:bookmarkEnd w:id="0"/>
      <w:r w:rsidRPr="00EE6CB8">
        <w:rPr>
          <w:lang w:val="en"/>
        </w:rPr>
        <w:t>Stay at home</w:t>
      </w:r>
    </w:p>
    <w:p w:rsidR="00EE6CB8" w:rsidRPr="00EE6CB8" w:rsidRDefault="00EE6CB8" w:rsidP="00EE6CB8">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EE6CB8">
        <w:rPr>
          <w:rFonts w:ascii="Times New Roman" w:eastAsia="Times New Roman" w:hAnsi="Times New Roman" w:cs="Times New Roman"/>
          <w:b/>
          <w:bCs/>
          <w:sz w:val="27"/>
          <w:szCs w:val="27"/>
          <w:lang w:val="en" w:eastAsia="en-GB"/>
        </w:rPr>
        <w:t>Education and childcare</w:t>
      </w:r>
    </w:p>
    <w:p w:rsidR="00EE6CB8" w:rsidRPr="00EE6CB8" w:rsidRDefault="00EE6CB8" w:rsidP="00EE6CB8">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EE6CB8">
        <w:rPr>
          <w:rFonts w:ascii="Times New Roman" w:eastAsia="Times New Roman" w:hAnsi="Times New Roman" w:cs="Times New Roman"/>
          <w:sz w:val="24"/>
          <w:szCs w:val="24"/>
          <w:lang w:val="en" w:eastAsia="en-GB"/>
        </w:rPr>
        <w:t>You can leave home for education (formal provision, rather than extracurricular classes such as music or drama tuition), training, registered childcare and children’s activities that are necessary to allow parents/carers to work, seek work, or undertake education or training. Parents can still take their children to school, and people can continue existing arrangements for contact between parents and children where they live apart.</w:t>
      </w:r>
    </w:p>
    <w:p w:rsidR="00EE6CB8" w:rsidRDefault="00EE6CB8" w:rsidP="00EE6CB8">
      <w:pPr>
        <w:pStyle w:val="ListParagraph"/>
      </w:pPr>
    </w:p>
    <w:p w:rsidR="00EE6CB8" w:rsidRDefault="00EE6CB8" w:rsidP="00EE6CB8">
      <w:pPr>
        <w:pStyle w:val="ListParagraph"/>
        <w:rPr>
          <w:lang w:val="en"/>
        </w:rPr>
      </w:pPr>
      <w:r>
        <w:rPr>
          <w:lang w:val="en"/>
        </w:rPr>
        <w:t>2. Meeting others safely</w:t>
      </w:r>
    </w:p>
    <w:p w:rsidR="00EE6CB8" w:rsidRDefault="00EE6CB8" w:rsidP="00EE6CB8">
      <w:pPr>
        <w:pStyle w:val="ListParagraph"/>
        <w:rPr>
          <w:lang w:val="en"/>
        </w:rPr>
      </w:pPr>
      <w:r>
        <w:rPr>
          <w:lang w:val="en"/>
        </w:rPr>
        <w:t xml:space="preserve">In general, you must not meet people socially. However, you can exercise or meet in a public, outdoors space with people you live with, your </w:t>
      </w:r>
      <w:hyperlink r:id="rId5" w:history="1">
        <w:r>
          <w:rPr>
            <w:rStyle w:val="Hyperlink"/>
            <w:lang w:val="en"/>
          </w:rPr>
          <w:t>support bubble</w:t>
        </w:r>
      </w:hyperlink>
      <w:r>
        <w:rPr>
          <w:lang w:val="en"/>
        </w:rPr>
        <w:t xml:space="preserve"> (or as part of a childcare bubble), or with one other person. You should minimise time spent outside your home. When around other people, stay 2 metres apart from anyone not in your household - meaning the people you live with - or your support bubble. Where this is not possible, stay 1 metre apart with extra precautions (e.g. wearing a </w:t>
      </w:r>
      <w:hyperlink r:id="rId6" w:history="1">
        <w:r>
          <w:rPr>
            <w:rStyle w:val="Hyperlink"/>
            <w:lang w:val="en"/>
          </w:rPr>
          <w:t>face covering</w:t>
        </w:r>
      </w:hyperlink>
      <w:r>
        <w:rPr>
          <w:lang w:val="en"/>
        </w:rPr>
        <w:t>).</w:t>
      </w:r>
    </w:p>
    <w:p w:rsidR="00EE6CB8" w:rsidRDefault="00EE6CB8" w:rsidP="00EE6CB8">
      <w:pPr>
        <w:pStyle w:val="ListParagraph"/>
        <w:rPr>
          <w:lang w:val="en"/>
        </w:rPr>
      </w:pPr>
    </w:p>
    <w:p w:rsidR="00EE6CB8" w:rsidRDefault="00EE6CB8" w:rsidP="00EE6CB8">
      <w:pPr>
        <w:pStyle w:val="Heading2"/>
        <w:rPr>
          <w:lang w:val="en"/>
        </w:rPr>
      </w:pPr>
      <w:r>
        <w:rPr>
          <w:lang w:val="en"/>
        </w:rPr>
        <w:t>7. Education, school, college and university</w:t>
      </w:r>
    </w:p>
    <w:p w:rsidR="00EE6CB8" w:rsidRDefault="00EE6CB8" w:rsidP="00EE6CB8">
      <w:pPr>
        <w:pStyle w:val="NormalWeb"/>
        <w:rPr>
          <w:lang w:val="en"/>
        </w:rPr>
      </w:pPr>
      <w:r>
        <w:rPr>
          <w:lang w:val="en"/>
        </w:rPr>
        <w:t>Schools, colleges and universities remain open. The Government will continue to prioritise the wellbeing and long-term futures of our young people and will not be closing core educational facilities, like early years settings, schools, colleges, universities and vocational training centres. It remains very important for children and young people to attend, to support their wellbeing and education and help working parents and guardians. Senior clinicians still advise that school is the best place for children to be, and so they should continue to go to school. Schools have implemented a range of protective measures to make them safe. For those who are home-schooled, pupils can still access education and training in community settings where needed to receive a suitable full-time education.</w:t>
      </w:r>
    </w:p>
    <w:p w:rsidR="00EE6CB8" w:rsidRDefault="00EE6CB8" w:rsidP="00EE6CB8">
      <w:pPr>
        <w:pStyle w:val="NormalWeb"/>
        <w:rPr>
          <w:lang w:val="en"/>
        </w:rPr>
      </w:pPr>
      <w:r>
        <w:rPr>
          <w:lang w:val="en"/>
        </w:rPr>
        <w:t>The Government has been clear that exams will go ahead next summer, as they are the fairest and most accurate way to measure a pupil’s attainment. We therefore need to keep schools and colleges open so that children are able to keep progressing towards exams and the next stage of education or employment. Students now have more time to prepare for their exams next year, as most AS, A levels and GCSEs will be held 3 weeks later to help address the disruption caused by the pandemic.</w:t>
      </w:r>
    </w:p>
    <w:p w:rsidR="00EE6CB8" w:rsidRDefault="00EE6CB8" w:rsidP="00EE6CB8">
      <w:pPr>
        <w:pStyle w:val="NormalWeb"/>
        <w:rPr>
          <w:lang w:val="en"/>
        </w:rPr>
      </w:pPr>
      <w:r>
        <w:rPr>
          <w:lang w:val="en"/>
        </w:rPr>
        <w:t xml:space="preserve">Universities have welcomed back students and we have </w:t>
      </w:r>
      <w:hyperlink r:id="rId7" w:history="1">
        <w:r>
          <w:rPr>
            <w:rStyle w:val="Hyperlink"/>
            <w:lang w:val="en"/>
          </w:rPr>
          <w:t>published guidance advising universities on reopening</w:t>
        </w:r>
      </w:hyperlink>
      <w:r>
        <w:rPr>
          <w:lang w:val="en"/>
        </w:rPr>
        <w:t xml:space="preserve"> to ensure they have safety measures in place to minimise the spread of the virus. Universities and adult education settings should consider moving to increased levels of online learning where possible.</w:t>
      </w:r>
    </w:p>
    <w:p w:rsidR="00EE6CB8" w:rsidRDefault="00EE6CB8" w:rsidP="00EE6CB8">
      <w:pPr>
        <w:pStyle w:val="NormalWeb"/>
        <w:rPr>
          <w:lang w:val="en"/>
        </w:rPr>
      </w:pPr>
      <w:r>
        <w:rPr>
          <w:lang w:val="en"/>
        </w:rPr>
        <w:t>There are further restrictions in place:</w:t>
      </w:r>
    </w:p>
    <w:p w:rsidR="00EE6CB8" w:rsidRDefault="00EE6CB8" w:rsidP="00EE6CB8">
      <w:pPr>
        <w:numPr>
          <w:ilvl w:val="0"/>
          <w:numId w:val="2"/>
        </w:numPr>
        <w:spacing w:before="100" w:beforeAutospacing="1" w:after="100" w:afterAutospacing="1" w:line="240" w:lineRule="auto"/>
        <w:rPr>
          <w:lang w:val="en"/>
        </w:rPr>
      </w:pPr>
      <w:r>
        <w:rPr>
          <w:lang w:val="en"/>
        </w:rPr>
        <w:t>If you live at university, you must not move back and forward between your permanent home and student home during term time. You should only return home at the end of term. We will publish further guidance soon on how students can travel home safely at the end of term</w:t>
      </w:r>
    </w:p>
    <w:p w:rsidR="00EE6CB8" w:rsidRDefault="00EE6CB8" w:rsidP="00EE6CB8">
      <w:pPr>
        <w:numPr>
          <w:ilvl w:val="0"/>
          <w:numId w:val="2"/>
        </w:numPr>
        <w:spacing w:before="100" w:beforeAutospacing="1" w:after="100" w:afterAutospacing="1" w:line="240" w:lineRule="auto"/>
        <w:rPr>
          <w:lang w:val="en"/>
        </w:rPr>
      </w:pPr>
      <w:r>
        <w:rPr>
          <w:lang w:val="en"/>
        </w:rPr>
        <w:lastRenderedPageBreak/>
        <w:t>Training for extra-curricular purposes, for instance as part of clubs, should not take place. Facilitated activities for children where these provide a childcare function for working parents are allowed to continue</w:t>
      </w:r>
    </w:p>
    <w:p w:rsidR="00EE6CB8" w:rsidRDefault="00EE6CB8" w:rsidP="00EE6CB8">
      <w:pPr>
        <w:pStyle w:val="Heading2"/>
        <w:rPr>
          <w:lang w:val="en"/>
        </w:rPr>
      </w:pPr>
      <w:r>
        <w:rPr>
          <w:lang w:val="en"/>
        </w:rPr>
        <w:t>8. Childcare and children’s activities</w:t>
      </w:r>
    </w:p>
    <w:p w:rsidR="00EE6CB8" w:rsidRDefault="00EE6CB8" w:rsidP="00EE6CB8">
      <w:pPr>
        <w:pStyle w:val="NormalWeb"/>
        <w:rPr>
          <w:lang w:val="en"/>
        </w:rPr>
      </w:pPr>
      <w:r>
        <w:rPr>
          <w:lang w:val="en"/>
        </w:rPr>
        <w:t>There are several ways that parents and carers can continue to access childcare during the national restrictions:</w:t>
      </w:r>
    </w:p>
    <w:p w:rsidR="00EE6CB8" w:rsidRDefault="00EE6CB8" w:rsidP="00EE6CB8">
      <w:pPr>
        <w:numPr>
          <w:ilvl w:val="0"/>
          <w:numId w:val="3"/>
        </w:numPr>
        <w:spacing w:before="100" w:beforeAutospacing="1" w:after="100" w:afterAutospacing="1" w:line="240" w:lineRule="auto"/>
        <w:rPr>
          <w:lang w:val="en"/>
        </w:rPr>
      </w:pPr>
      <w:r>
        <w:rPr>
          <w:lang w:val="en"/>
        </w:rPr>
        <w:t>Early years settings and childminders remain open, and you can continue to use these settings as normal</w:t>
      </w:r>
    </w:p>
    <w:p w:rsidR="00EE6CB8" w:rsidRDefault="00EE6CB8" w:rsidP="00EE6CB8">
      <w:pPr>
        <w:numPr>
          <w:ilvl w:val="0"/>
          <w:numId w:val="3"/>
        </w:numPr>
        <w:spacing w:before="100" w:beforeAutospacing="1" w:after="100" w:afterAutospacing="1" w:line="240" w:lineRule="auto"/>
        <w:rPr>
          <w:lang w:val="en"/>
        </w:rPr>
      </w:pPr>
      <w:r>
        <w:rPr>
          <w:lang w:val="en"/>
        </w:rPr>
        <w:t>You can access other childcare activities (including wraparound care) where reasonably necessary to enable parents to work, seek work, attend education or training, or for the purposes of respite care for carers</w:t>
      </w:r>
    </w:p>
    <w:p w:rsidR="00EE6CB8" w:rsidRDefault="00EE6CB8" w:rsidP="00EE6CB8">
      <w:pPr>
        <w:numPr>
          <w:ilvl w:val="0"/>
          <w:numId w:val="3"/>
        </w:numPr>
        <w:spacing w:before="100" w:beforeAutospacing="1" w:after="100" w:afterAutospacing="1" w:line="240" w:lineRule="auto"/>
        <w:rPr>
          <w:lang w:val="en"/>
        </w:rPr>
      </w:pPr>
      <w:r>
        <w:rPr>
          <w:lang w:val="en"/>
        </w:rPr>
        <w:t>Nannies will be able to continue to provide services, including in the home</w:t>
      </w:r>
    </w:p>
    <w:p w:rsidR="00EE6CB8" w:rsidRDefault="00EE6CB8" w:rsidP="00EE6CB8">
      <w:pPr>
        <w:numPr>
          <w:ilvl w:val="0"/>
          <w:numId w:val="3"/>
        </w:numPr>
        <w:spacing w:before="100" w:beforeAutospacing="1" w:after="100" w:afterAutospacing="1" w:line="240" w:lineRule="auto"/>
        <w:rPr>
          <w:lang w:val="en"/>
        </w:rPr>
      </w:pPr>
      <w:r>
        <w:rPr>
          <w:lang w:val="en"/>
        </w:rPr>
        <w:t>Parents are able to form a childcare bubble with one other household for the purposes of informal childcare, where the child is 13 or under</w:t>
      </w:r>
    </w:p>
    <w:p w:rsidR="00EE6CB8" w:rsidRDefault="00EE6CB8" w:rsidP="00EE6CB8">
      <w:pPr>
        <w:numPr>
          <w:ilvl w:val="0"/>
          <w:numId w:val="3"/>
        </w:numPr>
        <w:spacing w:before="100" w:beforeAutospacing="1" w:after="100" w:afterAutospacing="1" w:line="240" w:lineRule="auto"/>
        <w:rPr>
          <w:lang w:val="en"/>
        </w:rPr>
      </w:pPr>
      <w:r>
        <w:rPr>
          <w:lang w:val="en"/>
        </w:rPr>
        <w:t xml:space="preserve">Some households will also be able to benefit from being in a </w:t>
      </w:r>
      <w:hyperlink r:id="rId8" w:history="1">
        <w:r>
          <w:rPr>
            <w:rStyle w:val="Hyperlink"/>
            <w:lang w:val="en"/>
          </w:rPr>
          <w:t>support bubble</w:t>
        </w:r>
      </w:hyperlink>
      <w:r>
        <w:rPr>
          <w:lang w:val="en"/>
        </w:rPr>
        <w:t>, which allows single adult households to join another household</w:t>
      </w:r>
    </w:p>
    <w:p w:rsidR="00EE6CB8" w:rsidRDefault="00EE6CB8" w:rsidP="00EE6CB8">
      <w:pPr>
        <w:pStyle w:val="NormalWeb"/>
        <w:rPr>
          <w:lang w:val="en"/>
        </w:rPr>
      </w:pPr>
      <w:r>
        <w:rPr>
          <w:lang w:val="en"/>
        </w:rPr>
        <w:t>Some youth services are able to continue, such as 1-1 youth work and support groups, but most youth clubs and groups will need to cease for this period.</w:t>
      </w:r>
    </w:p>
    <w:p w:rsidR="00EE6CB8" w:rsidRDefault="00EE6CB8" w:rsidP="00EE6CB8">
      <w:pPr>
        <w:pStyle w:val="ListParagraph"/>
      </w:pPr>
    </w:p>
    <w:sectPr w:rsidR="00EE6C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E5C4B"/>
    <w:multiLevelType w:val="hybridMultilevel"/>
    <w:tmpl w:val="783E6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449C9"/>
    <w:multiLevelType w:val="multilevel"/>
    <w:tmpl w:val="B4A8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C84AF6"/>
    <w:multiLevelType w:val="multilevel"/>
    <w:tmpl w:val="F548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CB8"/>
    <w:rsid w:val="00AA36F0"/>
    <w:rsid w:val="00AD40CC"/>
    <w:rsid w:val="00EE6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4FC7CF-E593-4E6D-B4E2-01AAC9BC4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E6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E6CB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CB8"/>
    <w:pPr>
      <w:ind w:left="720"/>
      <w:contextualSpacing/>
    </w:pPr>
  </w:style>
  <w:style w:type="character" w:customStyle="1" w:styleId="Heading3Char">
    <w:name w:val="Heading 3 Char"/>
    <w:basedOn w:val="DefaultParagraphFont"/>
    <w:link w:val="Heading3"/>
    <w:uiPriority w:val="9"/>
    <w:rsid w:val="00EE6CB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E6C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E6CB8"/>
    <w:rPr>
      <w:color w:val="0000FF"/>
      <w:u w:val="single"/>
    </w:rPr>
  </w:style>
  <w:style w:type="character" w:customStyle="1" w:styleId="Heading2Char">
    <w:name w:val="Heading 2 Char"/>
    <w:basedOn w:val="DefaultParagraphFont"/>
    <w:link w:val="Heading2"/>
    <w:uiPriority w:val="9"/>
    <w:semiHidden/>
    <w:rsid w:val="00EE6CB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481189">
      <w:bodyDiv w:val="1"/>
      <w:marLeft w:val="0"/>
      <w:marRight w:val="0"/>
      <w:marTop w:val="0"/>
      <w:marBottom w:val="0"/>
      <w:divBdr>
        <w:top w:val="none" w:sz="0" w:space="0" w:color="auto"/>
        <w:left w:val="none" w:sz="0" w:space="0" w:color="auto"/>
        <w:bottom w:val="none" w:sz="0" w:space="0" w:color="auto"/>
        <w:right w:val="none" w:sz="0" w:space="0" w:color="auto"/>
      </w:divBdr>
      <w:divsChild>
        <w:div w:id="463426183">
          <w:marLeft w:val="0"/>
          <w:marRight w:val="0"/>
          <w:marTop w:val="0"/>
          <w:marBottom w:val="0"/>
          <w:divBdr>
            <w:top w:val="none" w:sz="0" w:space="0" w:color="auto"/>
            <w:left w:val="none" w:sz="0" w:space="0" w:color="auto"/>
            <w:bottom w:val="none" w:sz="0" w:space="0" w:color="auto"/>
            <w:right w:val="none" w:sz="0" w:space="0" w:color="auto"/>
          </w:divBdr>
          <w:divsChild>
            <w:div w:id="1862694604">
              <w:marLeft w:val="0"/>
              <w:marRight w:val="0"/>
              <w:marTop w:val="0"/>
              <w:marBottom w:val="0"/>
              <w:divBdr>
                <w:top w:val="none" w:sz="0" w:space="0" w:color="auto"/>
                <w:left w:val="none" w:sz="0" w:space="0" w:color="auto"/>
                <w:bottom w:val="none" w:sz="0" w:space="0" w:color="auto"/>
                <w:right w:val="none" w:sz="0" w:space="0" w:color="auto"/>
              </w:divBdr>
              <w:divsChild>
                <w:div w:id="341247329">
                  <w:marLeft w:val="0"/>
                  <w:marRight w:val="0"/>
                  <w:marTop w:val="0"/>
                  <w:marBottom w:val="0"/>
                  <w:divBdr>
                    <w:top w:val="none" w:sz="0" w:space="0" w:color="auto"/>
                    <w:left w:val="none" w:sz="0" w:space="0" w:color="auto"/>
                    <w:bottom w:val="none" w:sz="0" w:space="0" w:color="auto"/>
                    <w:right w:val="none" w:sz="0" w:space="0" w:color="auto"/>
                  </w:divBdr>
                  <w:divsChild>
                    <w:div w:id="632951943">
                      <w:marLeft w:val="0"/>
                      <w:marRight w:val="0"/>
                      <w:marTop w:val="0"/>
                      <w:marBottom w:val="0"/>
                      <w:divBdr>
                        <w:top w:val="none" w:sz="0" w:space="0" w:color="auto"/>
                        <w:left w:val="none" w:sz="0" w:space="0" w:color="auto"/>
                        <w:bottom w:val="none" w:sz="0" w:space="0" w:color="auto"/>
                        <w:right w:val="none" w:sz="0" w:space="0" w:color="auto"/>
                      </w:divBdr>
                      <w:divsChild>
                        <w:div w:id="1509830306">
                          <w:marLeft w:val="0"/>
                          <w:marRight w:val="0"/>
                          <w:marTop w:val="0"/>
                          <w:marBottom w:val="0"/>
                          <w:divBdr>
                            <w:top w:val="none" w:sz="0" w:space="0" w:color="auto"/>
                            <w:left w:val="none" w:sz="0" w:space="0" w:color="auto"/>
                            <w:bottom w:val="none" w:sz="0" w:space="0" w:color="auto"/>
                            <w:right w:val="none" w:sz="0" w:space="0" w:color="auto"/>
                          </w:divBdr>
                          <w:divsChild>
                            <w:div w:id="5129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619967">
      <w:bodyDiv w:val="1"/>
      <w:marLeft w:val="0"/>
      <w:marRight w:val="0"/>
      <w:marTop w:val="0"/>
      <w:marBottom w:val="0"/>
      <w:divBdr>
        <w:top w:val="none" w:sz="0" w:space="0" w:color="auto"/>
        <w:left w:val="none" w:sz="0" w:space="0" w:color="auto"/>
        <w:bottom w:val="none" w:sz="0" w:space="0" w:color="auto"/>
        <w:right w:val="none" w:sz="0" w:space="0" w:color="auto"/>
      </w:divBdr>
      <w:divsChild>
        <w:div w:id="1137334260">
          <w:marLeft w:val="0"/>
          <w:marRight w:val="0"/>
          <w:marTop w:val="0"/>
          <w:marBottom w:val="0"/>
          <w:divBdr>
            <w:top w:val="none" w:sz="0" w:space="0" w:color="auto"/>
            <w:left w:val="none" w:sz="0" w:space="0" w:color="auto"/>
            <w:bottom w:val="none" w:sz="0" w:space="0" w:color="auto"/>
            <w:right w:val="none" w:sz="0" w:space="0" w:color="auto"/>
          </w:divBdr>
          <w:divsChild>
            <w:div w:id="1851874576">
              <w:marLeft w:val="0"/>
              <w:marRight w:val="0"/>
              <w:marTop w:val="0"/>
              <w:marBottom w:val="0"/>
              <w:divBdr>
                <w:top w:val="none" w:sz="0" w:space="0" w:color="auto"/>
                <w:left w:val="none" w:sz="0" w:space="0" w:color="auto"/>
                <w:bottom w:val="none" w:sz="0" w:space="0" w:color="auto"/>
                <w:right w:val="none" w:sz="0" w:space="0" w:color="auto"/>
              </w:divBdr>
              <w:divsChild>
                <w:div w:id="2116557261">
                  <w:marLeft w:val="0"/>
                  <w:marRight w:val="0"/>
                  <w:marTop w:val="0"/>
                  <w:marBottom w:val="0"/>
                  <w:divBdr>
                    <w:top w:val="none" w:sz="0" w:space="0" w:color="auto"/>
                    <w:left w:val="none" w:sz="0" w:space="0" w:color="auto"/>
                    <w:bottom w:val="none" w:sz="0" w:space="0" w:color="auto"/>
                    <w:right w:val="none" w:sz="0" w:space="0" w:color="auto"/>
                  </w:divBdr>
                  <w:divsChild>
                    <w:div w:id="1910000308">
                      <w:marLeft w:val="0"/>
                      <w:marRight w:val="0"/>
                      <w:marTop w:val="0"/>
                      <w:marBottom w:val="0"/>
                      <w:divBdr>
                        <w:top w:val="none" w:sz="0" w:space="0" w:color="auto"/>
                        <w:left w:val="none" w:sz="0" w:space="0" w:color="auto"/>
                        <w:bottom w:val="none" w:sz="0" w:space="0" w:color="auto"/>
                        <w:right w:val="none" w:sz="0" w:space="0" w:color="auto"/>
                      </w:divBdr>
                      <w:divsChild>
                        <w:div w:id="795441330">
                          <w:marLeft w:val="0"/>
                          <w:marRight w:val="0"/>
                          <w:marTop w:val="0"/>
                          <w:marBottom w:val="0"/>
                          <w:divBdr>
                            <w:top w:val="none" w:sz="0" w:space="0" w:color="auto"/>
                            <w:left w:val="none" w:sz="0" w:space="0" w:color="auto"/>
                            <w:bottom w:val="none" w:sz="0" w:space="0" w:color="auto"/>
                            <w:right w:val="none" w:sz="0" w:space="0" w:color="auto"/>
                          </w:divBdr>
                          <w:divsChild>
                            <w:div w:id="199807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535951">
      <w:bodyDiv w:val="1"/>
      <w:marLeft w:val="0"/>
      <w:marRight w:val="0"/>
      <w:marTop w:val="0"/>
      <w:marBottom w:val="0"/>
      <w:divBdr>
        <w:top w:val="none" w:sz="0" w:space="0" w:color="auto"/>
        <w:left w:val="none" w:sz="0" w:space="0" w:color="auto"/>
        <w:bottom w:val="none" w:sz="0" w:space="0" w:color="auto"/>
        <w:right w:val="none" w:sz="0" w:space="0" w:color="auto"/>
      </w:divBdr>
      <w:divsChild>
        <w:div w:id="450517625">
          <w:marLeft w:val="0"/>
          <w:marRight w:val="0"/>
          <w:marTop w:val="0"/>
          <w:marBottom w:val="0"/>
          <w:divBdr>
            <w:top w:val="none" w:sz="0" w:space="0" w:color="auto"/>
            <w:left w:val="none" w:sz="0" w:space="0" w:color="auto"/>
            <w:bottom w:val="none" w:sz="0" w:space="0" w:color="auto"/>
            <w:right w:val="none" w:sz="0" w:space="0" w:color="auto"/>
          </w:divBdr>
          <w:divsChild>
            <w:div w:id="1033846856">
              <w:marLeft w:val="0"/>
              <w:marRight w:val="0"/>
              <w:marTop w:val="0"/>
              <w:marBottom w:val="0"/>
              <w:divBdr>
                <w:top w:val="none" w:sz="0" w:space="0" w:color="auto"/>
                <w:left w:val="none" w:sz="0" w:space="0" w:color="auto"/>
                <w:bottom w:val="none" w:sz="0" w:space="0" w:color="auto"/>
                <w:right w:val="none" w:sz="0" w:space="0" w:color="auto"/>
              </w:divBdr>
              <w:divsChild>
                <w:div w:id="577134490">
                  <w:marLeft w:val="0"/>
                  <w:marRight w:val="0"/>
                  <w:marTop w:val="0"/>
                  <w:marBottom w:val="0"/>
                  <w:divBdr>
                    <w:top w:val="none" w:sz="0" w:space="0" w:color="auto"/>
                    <w:left w:val="none" w:sz="0" w:space="0" w:color="auto"/>
                    <w:bottom w:val="none" w:sz="0" w:space="0" w:color="auto"/>
                    <w:right w:val="none" w:sz="0" w:space="0" w:color="auto"/>
                  </w:divBdr>
                  <w:divsChild>
                    <w:div w:id="1584022804">
                      <w:marLeft w:val="0"/>
                      <w:marRight w:val="0"/>
                      <w:marTop w:val="0"/>
                      <w:marBottom w:val="0"/>
                      <w:divBdr>
                        <w:top w:val="none" w:sz="0" w:space="0" w:color="auto"/>
                        <w:left w:val="none" w:sz="0" w:space="0" w:color="auto"/>
                        <w:bottom w:val="none" w:sz="0" w:space="0" w:color="auto"/>
                        <w:right w:val="none" w:sz="0" w:space="0" w:color="auto"/>
                      </w:divBdr>
                      <w:divsChild>
                        <w:div w:id="413476265">
                          <w:marLeft w:val="0"/>
                          <w:marRight w:val="0"/>
                          <w:marTop w:val="0"/>
                          <w:marBottom w:val="0"/>
                          <w:divBdr>
                            <w:top w:val="none" w:sz="0" w:space="0" w:color="auto"/>
                            <w:left w:val="none" w:sz="0" w:space="0" w:color="auto"/>
                            <w:bottom w:val="none" w:sz="0" w:space="0" w:color="auto"/>
                            <w:right w:val="none" w:sz="0" w:space="0" w:color="auto"/>
                          </w:divBdr>
                          <w:divsChild>
                            <w:div w:id="15660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making-a-support-bubble-with-another-household" TargetMode="External"/><Relationship Id="rId3" Type="http://schemas.openxmlformats.org/officeDocument/2006/relationships/settings" Target="settings.xml"/><Relationship Id="rId7" Type="http://schemas.openxmlformats.org/officeDocument/2006/relationships/hyperlink" Target="https://www.gov.uk/government/publications/higher-education-reopening-buildings-and-campuses/higher-education-reopening-buildings-and-campu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face-coverings-when-to-wear-one-and-how-to-make-your-own/face-coverings-when-to-wear-one-and-how-to-make-your-own" TargetMode="External"/><Relationship Id="rId5" Type="http://schemas.openxmlformats.org/officeDocument/2006/relationships/hyperlink" Target="https://www.gov.uk/guidance/making-a-support-bubble-with-another-househol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696</Words>
  <Characters>3971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Moore</dc:creator>
  <cp:keywords/>
  <dc:description/>
  <cp:lastModifiedBy>Joanne McKone</cp:lastModifiedBy>
  <cp:revision>2</cp:revision>
  <dcterms:created xsi:type="dcterms:W3CDTF">2020-11-06T11:25:00Z</dcterms:created>
  <dcterms:modified xsi:type="dcterms:W3CDTF">2020-11-06T11:25:00Z</dcterms:modified>
</cp:coreProperties>
</file>